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Приложение 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от _________№______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«Приложение 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803E43" w:rsidRPr="00A70B1D" w:rsidRDefault="00803E43" w:rsidP="00803E43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от 03.10.2017 № 4850</w:t>
      </w:r>
    </w:p>
    <w:p w:rsidR="00803E43" w:rsidRDefault="00803E43" w:rsidP="00803E43">
      <w:pPr>
        <w:jc w:val="right"/>
      </w:pPr>
    </w:p>
    <w:p w:rsidR="00803E43" w:rsidRPr="00A70B1D" w:rsidRDefault="00803E43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803E43" w:rsidRPr="00A70B1D" w:rsidRDefault="00803E43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 на 2018-2020 годы</w:t>
      </w:r>
    </w:p>
    <w:p w:rsidR="00803E43" w:rsidRDefault="00803E4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447EA1" w:rsidRPr="00A70B1D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447EA1" w:rsidRPr="00A70B1D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«Развитие культуры города Рубцовска» на 2018-2020 годы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34D6">
        <w:rPr>
          <w:rFonts w:ascii="Times New Roman" w:hAnsi="Times New Roman"/>
          <w:sz w:val="26"/>
          <w:szCs w:val="26"/>
        </w:rPr>
        <w:t>(с изменениями, внесенными постановлениями Администрации города Рубцовска Алтайского края от 12.02.2018 № 277, 26.07.2018 № 1951, 26.12.2018 № 3400, 21.02.2019 № 372</w:t>
      </w:r>
      <w:r w:rsidR="00803E43">
        <w:rPr>
          <w:rFonts w:ascii="Times New Roman" w:hAnsi="Times New Roman"/>
          <w:sz w:val="26"/>
          <w:szCs w:val="26"/>
        </w:rPr>
        <w:t>, 20.09.2019 № 2419</w:t>
      </w:r>
      <w:r w:rsidRPr="00A834D6">
        <w:rPr>
          <w:rFonts w:ascii="Times New Roman" w:hAnsi="Times New Roman"/>
          <w:sz w:val="26"/>
          <w:szCs w:val="26"/>
        </w:rPr>
        <w:t>)</w:t>
      </w: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447EA1" w:rsidRPr="00A70B1D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447EA1" w:rsidRPr="00A70B1D" w:rsidTr="00A70B1D">
        <w:trPr>
          <w:trHeight w:val="601"/>
        </w:trPr>
        <w:tc>
          <w:tcPr>
            <w:tcW w:w="3085" w:type="dxa"/>
            <w:tcBorders>
              <w:bottom w:val="single" w:sz="4" w:space="0" w:color="auto"/>
            </w:tcBorders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447EA1" w:rsidRPr="00A70B1D" w:rsidTr="004E4246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447EA1" w:rsidRPr="00A70B1D" w:rsidRDefault="00447EA1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Федеральная целевая программа «Культура России (2012 – 2018 годы)»;</w:t>
            </w:r>
          </w:p>
          <w:p w:rsidR="00447EA1" w:rsidRPr="00A70B1D" w:rsidRDefault="00447EA1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Алтайского края» на 2015-2020 годы;</w:t>
            </w:r>
          </w:p>
          <w:p w:rsidR="00447EA1" w:rsidRPr="00A70B1D" w:rsidRDefault="00447EA1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края»;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7EA1" w:rsidRDefault="00A2714A" w:rsidP="006768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47EA1" w:rsidRPr="00A70B1D">
                <w:rPr>
                  <w:rStyle w:val="a5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12.01.19</w:t>
              </w:r>
              <w:r w:rsidR="00447EA1"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96 № 7-ФЗ</w:t>
              </w:r>
              <w:r w:rsidR="00447EA1" w:rsidRPr="00A70B1D">
                <w:rPr>
                  <w:rStyle w:val="a5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 xml:space="preserve"> «О </w:t>
              </w:r>
              <w:r w:rsidR="00447EA1" w:rsidRPr="00A70B1D">
                <w:rPr>
                  <w:rStyle w:val="a5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lastRenderedPageBreak/>
                <w:t xml:space="preserve">некоммерческих организациях»; </w:t>
              </w:r>
            </w:hyperlink>
          </w:p>
          <w:p w:rsidR="00447EA1" w:rsidRPr="00A70B1D" w:rsidRDefault="00A2714A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447EA1" w:rsidRPr="00A70B1D">
                <w:rPr>
                  <w:rStyle w:val="a5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0</w:t>
              </w:r>
              <w:r w:rsidR="00447EA1"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6.10. 2003 № 131-ФЗ</w:t>
              </w:r>
              <w:r w:rsidR="00447EA1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</w:t>
              </w:r>
              <w:r w:rsidR="00447EA1" w:rsidRPr="00A70B1D">
                <w:rPr>
                  <w:rStyle w:val="a5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447EA1" w:rsidRPr="00A70B1D" w:rsidRDefault="00447EA1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 и МБУК «Театр кукол им А.К. Брахмана»;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учреждений культурно-досугового типа;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447EA1" w:rsidRPr="00A70B1D" w:rsidRDefault="00447EA1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447EA1" w:rsidRPr="00A70B1D" w:rsidRDefault="00447EA1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480904,5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153834,4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172713,8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154356,3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федеральный бюджет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14057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тыс.руб., в том числе по годам: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5322,1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8734,9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краевой бюджет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2060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,6 тыс.руб., в том числе по годам: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403,1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657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,5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1000,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0 тыс. руб.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бюджет города –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382485,5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том числе по годам: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120465,8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135992,4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126027,3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внебюджетные средства учреждений культуры города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82301,4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том числе по годам: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27643,4тыс. руб.;</w:t>
            </w:r>
          </w:p>
          <w:p w:rsidR="00447EA1" w:rsidRPr="00FB002A" w:rsidRDefault="00447EA1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27329,0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447EA1" w:rsidRPr="00A70B1D" w:rsidRDefault="00447EA1" w:rsidP="00273C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2020 год – </w:t>
            </w:r>
            <w:r w:rsidR="00273CEC">
              <w:rPr>
                <w:rFonts w:ascii="Times New Roman" w:hAnsi="Times New Roman"/>
                <w:sz w:val="26"/>
                <w:szCs w:val="26"/>
                <w:lang w:eastAsia="ar-SA"/>
              </w:rPr>
              <w:t>27329,0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</w:tc>
      </w:tr>
      <w:tr w:rsidR="00447EA1" w:rsidRPr="00A70B1D" w:rsidTr="004E4246">
        <w:tc>
          <w:tcPr>
            <w:tcW w:w="3085" w:type="dxa"/>
          </w:tcPr>
          <w:p w:rsidR="00447EA1" w:rsidRPr="00A70B1D" w:rsidRDefault="00447EA1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447EA1" w:rsidRPr="00A70B1D" w:rsidRDefault="00447EA1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447EA1" w:rsidRPr="00A70B1D" w:rsidRDefault="00447EA1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447EA1" w:rsidRDefault="00447EA1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447EA1" w:rsidRPr="00A70B1D" w:rsidRDefault="00447EA1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уменьшение до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47EA1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43,4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театр», МБУК «Театр кукол им А.К. Брахмана»;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112,1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учреждений культурно-досугового типа;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97,0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47,3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тыс.ед. количества посещений учреждений музейного типа; 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292,5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тыс.ед. количества посещений муниципальных библиотек;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17,6 тыс.чел. количества детей до 14 лет, пользующихся услугами муниципальных библиотек;</w:t>
            </w:r>
          </w:p>
          <w:p w:rsidR="00447EA1" w:rsidRPr="00A70B1D" w:rsidRDefault="00447EA1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447EA1" w:rsidRPr="00A70B1D" w:rsidRDefault="00447EA1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447EA1" w:rsidRPr="00A70B1D" w:rsidRDefault="00447EA1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75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социально ориентированными некоммерческими организациями </w:t>
            </w:r>
          </w:p>
        </w:tc>
      </w:tr>
    </w:tbl>
    <w:p w:rsidR="00447EA1" w:rsidRDefault="00447EA1" w:rsidP="00C220F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447EA1" w:rsidRPr="00A70B1D" w:rsidRDefault="00447EA1" w:rsidP="00C220F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70B1D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447EA1" w:rsidRPr="00A70B1D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447EA1" w:rsidRPr="00A70B1D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«Городской Дворец культуры»;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447EA1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447EA1" w:rsidRPr="00A70B1D" w:rsidRDefault="00447EA1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447EA1" w:rsidRPr="00A70B1D" w:rsidRDefault="00447EA1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447EA1" w:rsidRPr="00A70B1D" w:rsidRDefault="00447EA1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среднем в 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- 78 %.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насчитывалось:</w:t>
      </w:r>
    </w:p>
    <w:p w:rsidR="00447EA1" w:rsidRPr="00A70B1D" w:rsidRDefault="00447EA1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заслуженных коллективов самодеятельного художественного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447EA1" w:rsidRPr="00A70B1D" w:rsidRDefault="00447EA1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447EA1" w:rsidRPr="00A70B1D" w:rsidRDefault="00447EA1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447EA1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color w:val="FF0000"/>
          <w:sz w:val="26"/>
          <w:szCs w:val="26"/>
        </w:rPr>
        <w:tab/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программы.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447EA1" w:rsidRPr="00A70B1D" w:rsidRDefault="00447EA1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447EA1" w:rsidRPr="00A70B1D" w:rsidRDefault="00447EA1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447EA1" w:rsidRPr="00A70B1D" w:rsidRDefault="00447EA1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</w:t>
      </w:r>
      <w:r w:rsidRPr="00A70B1D">
        <w:rPr>
          <w:rFonts w:ascii="Times New Roman" w:hAnsi="Times New Roman"/>
          <w:sz w:val="26"/>
          <w:szCs w:val="26"/>
        </w:rPr>
        <w:lastRenderedPageBreak/>
        <w:t>для них каких-либо социальных гарантий. Отсутствует практика предоставления служебного жилья.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447EA1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      </w:t>
      </w:r>
      <w:r w:rsidRPr="00A70B1D">
        <w:rPr>
          <w:rFonts w:ascii="Times New Roman" w:hAnsi="Times New Roman"/>
          <w:sz w:val="26"/>
          <w:szCs w:val="26"/>
        </w:rPr>
        <w:tab/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1.3. Обоснование решение проблем и прогноз развития сферы реализации программы.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</w:t>
      </w:r>
      <w:r>
        <w:rPr>
          <w:rFonts w:ascii="Times New Roman" w:hAnsi="Times New Roman"/>
          <w:sz w:val="26"/>
          <w:szCs w:val="26"/>
        </w:rPr>
        <w:t xml:space="preserve"> Рубцовска» на 2015 – 2017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447EA1" w:rsidRPr="00A70B1D" w:rsidRDefault="00447EA1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447EA1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447EA1" w:rsidRPr="00EA6EC4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EC4">
        <w:rPr>
          <w:rFonts w:ascii="Times New Roman" w:hAnsi="Times New Roman"/>
          <w:color w:val="000000"/>
          <w:sz w:val="26"/>
          <w:szCs w:val="26"/>
        </w:rPr>
        <w:t>В целях реализации «Плана мероприятий (дорожная карта) «Поддержка доступа негосударственных организаций к предоставлению услуг в социальной сфере», призванного расширить участие негосударственного сектора в оказании услуг в социальной сфере, выполнения рекомендаций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населению на 2018-2020 годы, учреждения культуры и спорта ведут работу по сотрудничеству и привлечению СОНКО к совместному оказанию муниципальных услуг.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По информации, предоставленной Министерством юстиции Российской Федерации, на территории города Рубцовска осуществляют деятельность 108 некоммерческих организаций.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сложилась система поддержки общественных объединений.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lastRenderedPageBreak/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В городе Рубцовске по адресу: Бульвар Победы, 8  находится Центр общественных объединений. </w:t>
      </w:r>
    </w:p>
    <w:p w:rsidR="00447EA1" w:rsidRPr="00A70B1D" w:rsidRDefault="00447EA1" w:rsidP="00C220F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447EA1" w:rsidRPr="00A70B1D" w:rsidRDefault="00447EA1" w:rsidP="00C220F4">
      <w:pPr>
        <w:pStyle w:val="1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47EA1" w:rsidRPr="00A70B1D" w:rsidRDefault="00447EA1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447EA1" w:rsidRPr="00A70B1D" w:rsidRDefault="00447EA1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направления реализации программы.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Федеральная целевая программа «Культура России (2012-2018)»;</w:t>
      </w:r>
    </w:p>
    <w:p w:rsidR="00447EA1" w:rsidRPr="00A70B1D" w:rsidRDefault="00A2714A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7EA1" w:rsidRPr="00A70B1D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447EA1" w:rsidRPr="00A70B1D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11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>ом Алтайского края от 21.11.2012 № 86-ЗС;</w:t>
      </w:r>
    </w:p>
    <w:p w:rsidR="00447EA1" w:rsidRPr="00A70B1D" w:rsidRDefault="00A2714A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47EA1"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47EA1"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12.05.2005 № 32-ЗС «Об объектах культурного наследия (памятниках истории и культуры) в Алтайском крае»;</w:t>
      </w:r>
    </w:p>
    <w:p w:rsidR="00447EA1" w:rsidRPr="00A70B1D" w:rsidRDefault="00A2714A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47EA1"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47EA1"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10.04.2007 № 22-ЗС «О библиотечном деле в Алтайском крае»;</w:t>
      </w:r>
    </w:p>
    <w:p w:rsidR="00447EA1" w:rsidRPr="00A70B1D" w:rsidRDefault="00A2714A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47EA1"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47EA1"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447EA1" w:rsidRPr="00A70B1D" w:rsidRDefault="00A2714A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47EA1"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47EA1"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23.11.2012 № 641 «Об утверждении Концепции долгосрочного развития театрального дела в Алтайском крае на период до 2020 года»;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егия социально-</w:t>
      </w: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экономического развития муниципального образования город Рубцовск Алтайского края на период до 2025 года;</w:t>
      </w:r>
    </w:p>
    <w:p w:rsidR="00447EA1" w:rsidRPr="00A70B1D" w:rsidRDefault="00A2714A" w:rsidP="00C220F4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16" w:history="1">
        <w:r w:rsidR="00447EA1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="00447EA1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="00447EA1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 </w:t>
        </w:r>
      </w:hyperlink>
    </w:p>
    <w:p w:rsidR="00447EA1" w:rsidRPr="00A70B1D" w:rsidRDefault="00A2714A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447EA1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="00447EA1"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="00447EA1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="00447EA1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447EA1" w:rsidRPr="00A70B1D">
        <w:rPr>
          <w:rFonts w:ascii="Times New Roman" w:hAnsi="Times New Roman"/>
          <w:sz w:val="26"/>
          <w:szCs w:val="26"/>
        </w:rPr>
        <w:t>.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lastRenderedPageBreak/>
        <w:t>развитие выставочной деятельности;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447EA1" w:rsidRPr="00A70B1D" w:rsidRDefault="00447EA1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447EA1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2.2. Цель и задачи программы.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70B1D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447EA1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447EA1" w:rsidRPr="00A70B1D" w:rsidRDefault="00447EA1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</w:t>
      </w:r>
      <w:r w:rsidRPr="00A70B1D">
        <w:rPr>
          <w:rFonts w:ascii="Times New Roman" w:hAnsi="Times New Roman"/>
          <w:sz w:val="26"/>
          <w:szCs w:val="26"/>
        </w:rPr>
        <w:lastRenderedPageBreak/>
        <w:t>предоставления населению города 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</w:t>
      </w:r>
      <w:r w:rsidRPr="00A70B1D">
        <w:rPr>
          <w:rFonts w:ascii="Times New Roman" w:hAnsi="Times New Roman"/>
          <w:sz w:val="26"/>
          <w:szCs w:val="26"/>
        </w:rPr>
        <w:t xml:space="preserve"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>,</w:t>
      </w:r>
      <w:r w:rsidRPr="00C21044"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43,4 тыс.ед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МБУК «Рубцовский драматический театр»</w:t>
      </w:r>
      <w:r>
        <w:rPr>
          <w:rFonts w:ascii="Times New Roman" w:hAnsi="Times New Roman"/>
          <w:sz w:val="26"/>
          <w:szCs w:val="26"/>
        </w:rPr>
        <w:t xml:space="preserve"> и МБУК «Театр кукол им.А.К. Брахмана».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культурно-досуговых учреждений, поддержка н</w:t>
      </w:r>
      <w:r>
        <w:rPr>
          <w:rFonts w:ascii="Times New Roman" w:hAnsi="Times New Roman"/>
          <w:sz w:val="26"/>
          <w:szCs w:val="26"/>
        </w:rPr>
        <w:t xml:space="preserve">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112,1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>дений культурно-досугового типа.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97,0 тыс. ед. количества посещений МБУК «КДО «Прометей».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47,3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музейного типа; увеличение до 20,2 %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292,5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муниципальных библиотек; увеличение до 17,6, тыс.чел. количества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 (в том числе заочных).</w:t>
      </w:r>
    </w:p>
    <w:p w:rsidR="00447EA1" w:rsidRPr="001F4BD7" w:rsidRDefault="00447EA1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При решении задачи по привлечению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70B1D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до 75 ед.</w:t>
      </w:r>
      <w:r w:rsidRPr="00A70B1D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ориентированными неком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мерческими организациями.</w:t>
      </w:r>
    </w:p>
    <w:p w:rsidR="00447EA1" w:rsidRDefault="00447EA1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  <w:r>
        <w:rPr>
          <w:rFonts w:ascii="Times New Roman" w:hAnsi="Times New Roman"/>
          <w:sz w:val="26"/>
          <w:szCs w:val="26"/>
        </w:rPr>
        <w:t xml:space="preserve"> показаны в таблице 1.</w:t>
      </w:r>
    </w:p>
    <w:p w:rsidR="00447EA1" w:rsidRDefault="00447EA1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7EA1" w:rsidRDefault="00447EA1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</w:t>
      </w:r>
      <w:r w:rsidRPr="001F4BD7">
        <w:rPr>
          <w:rFonts w:ascii="Times New Roman" w:hAnsi="Times New Roman"/>
          <w:sz w:val="26"/>
          <w:szCs w:val="26"/>
        </w:rPr>
        <w:t>1</w:t>
      </w:r>
    </w:p>
    <w:p w:rsidR="00447EA1" w:rsidRPr="001F4BD7" w:rsidRDefault="00447EA1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447EA1" w:rsidRPr="001F4BD7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08"/>
        <w:gridCol w:w="720"/>
        <w:gridCol w:w="1292"/>
        <w:gridCol w:w="1237"/>
        <w:gridCol w:w="723"/>
        <w:gridCol w:w="825"/>
        <w:gridCol w:w="822"/>
      </w:tblGrid>
      <w:tr w:rsidR="00447EA1" w:rsidRPr="00EB69F6" w:rsidTr="00EB69F6">
        <w:tc>
          <w:tcPr>
            <w:tcW w:w="648" w:type="dxa"/>
            <w:vMerge w:val="restart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3208" w:type="dxa"/>
            <w:vMerge w:val="restart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Наименование индикатора (показателя)</w:t>
            </w:r>
          </w:p>
        </w:tc>
        <w:tc>
          <w:tcPr>
            <w:tcW w:w="720" w:type="dxa"/>
            <w:vMerge w:val="restart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4899" w:type="dxa"/>
            <w:gridSpan w:val="5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Значение по годам</w:t>
            </w:r>
          </w:p>
        </w:tc>
      </w:tr>
      <w:tr w:rsidR="00447EA1" w:rsidRPr="00EB69F6" w:rsidTr="00EB69F6">
        <w:tc>
          <w:tcPr>
            <w:tcW w:w="648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2" w:type="dxa"/>
            <w:vMerge w:val="restart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год, предшествующий году разработки программы (факт)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237" w:type="dxa"/>
            <w:vMerge w:val="restart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 разработки программы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(оценка),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2370" w:type="dxa"/>
            <w:gridSpan w:val="3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447EA1" w:rsidRPr="00EB69F6" w:rsidTr="00EB69F6">
        <w:tc>
          <w:tcPr>
            <w:tcW w:w="648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2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7" w:type="dxa"/>
            <w:vMerge/>
            <w:vAlign w:val="center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447EA1" w:rsidRPr="00EB69F6" w:rsidTr="00EB69F6">
        <w:trPr>
          <w:trHeight w:val="2368"/>
        </w:trPr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B69F6">
              <w:rPr>
                <w:rFonts w:ascii="Times New Roman" w:hAnsi="Times New Roman"/>
                <w:sz w:val="23"/>
                <w:szCs w:val="23"/>
              </w:rPr>
              <w:t>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учреждений культуры, находящихся в муниципальной собственности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посещений театрально-концертных мероприятий МБУК «Рубцовский драматический театр» и МБУК «Театр кукол им.А.К. Брахмана»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35,2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35,2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36,2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43,2 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43,4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Количество посещений театрально-концертных </w:t>
            </w:r>
            <w:r w:rsidRPr="00EB69F6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мероприятий учреждений культурно-досугового типа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lastRenderedPageBreak/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90,7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90,7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91,7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107,0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112,1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посещений МБУК «КДО «Прометей»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95,5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95,5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96,0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96,5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97,0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Количество посещений учреждений музейного типа 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28,6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28,6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29,0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46,8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47,3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19,6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19,6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19,8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20,2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 Количество посещений муниципальных библиотек 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278,3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254,3</w:t>
            </w:r>
            <w:r w:rsidRPr="00EB69F6">
              <w:rPr>
                <w:rFonts w:ascii="Times New Roman" w:hAnsi="Times New Roman"/>
                <w:sz w:val="23"/>
                <w:szCs w:val="23"/>
                <w:lang w:val="en-US"/>
              </w:rPr>
              <w:t>*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256,0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285,1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292,5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19,1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17,0</w:t>
            </w:r>
            <w:r w:rsidRPr="00EB69F6">
              <w:rPr>
                <w:rFonts w:ascii="Times New Roman" w:hAnsi="Times New Roman"/>
                <w:sz w:val="23"/>
                <w:szCs w:val="23"/>
                <w:lang w:val="en-US"/>
              </w:rPr>
              <w:t>*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17,2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17,4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17,6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11,0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524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525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525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530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535</w:t>
            </w:r>
          </w:p>
        </w:tc>
      </w:tr>
      <w:tr w:rsidR="00447EA1" w:rsidRPr="00EB69F6" w:rsidTr="00EB69F6">
        <w:tc>
          <w:tcPr>
            <w:tcW w:w="648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3208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мероприятий, проведенных совместно с СОНКО</w:t>
            </w:r>
          </w:p>
        </w:tc>
        <w:tc>
          <w:tcPr>
            <w:tcW w:w="720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37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23" w:type="dxa"/>
          </w:tcPr>
          <w:p w:rsidR="00447EA1" w:rsidRPr="00EB69F6" w:rsidRDefault="00447EA1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825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822" w:type="dxa"/>
          </w:tcPr>
          <w:p w:rsidR="00447EA1" w:rsidRPr="00EB69F6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</w:tr>
    </w:tbl>
    <w:p w:rsidR="00447EA1" w:rsidRPr="00EB69F6" w:rsidRDefault="00447EA1" w:rsidP="00EB69F6">
      <w:pPr>
        <w:pStyle w:val="a7"/>
        <w:spacing w:after="0" w:line="240" w:lineRule="auto"/>
        <w:ind w:left="0"/>
        <w:jc w:val="both"/>
        <w:rPr>
          <w:rFonts w:ascii="Times New Roman" w:hAnsi="Times New Roman"/>
          <w:snapToGrid w:val="0"/>
          <w:sz w:val="23"/>
          <w:szCs w:val="23"/>
        </w:rPr>
      </w:pPr>
      <w:r w:rsidRPr="00EB69F6">
        <w:rPr>
          <w:rFonts w:ascii="Times New Roman" w:hAnsi="Times New Roman"/>
          <w:snapToGrid w:val="0"/>
          <w:sz w:val="23"/>
          <w:szCs w:val="23"/>
        </w:rPr>
        <w:t>*Снижение показателя обусловлено сокращением одной сетевой единицы</w:t>
      </w:r>
    </w:p>
    <w:p w:rsidR="00447EA1" w:rsidRPr="00A70B1D" w:rsidRDefault="00447EA1" w:rsidP="00C220F4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A1" w:rsidRPr="00CD2F23" w:rsidRDefault="00447EA1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CD2F23">
        <w:rPr>
          <w:rFonts w:ascii="Times New Roman" w:hAnsi="Times New Roman"/>
          <w:sz w:val="26"/>
          <w:szCs w:val="26"/>
        </w:rPr>
        <w:t>. Методика оценки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447EA1" w:rsidRPr="00CD2F23" w:rsidRDefault="00447EA1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D2F23"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муниципальной программы осуществляется </w:t>
      </w:r>
      <w:r w:rsidRPr="00CD2F23">
        <w:rPr>
          <w:rFonts w:ascii="Times New Roman" w:hAnsi="Times New Roman"/>
          <w:sz w:val="26"/>
          <w:szCs w:val="26"/>
        </w:rPr>
        <w:t>Администрацией города Р</w:t>
      </w:r>
      <w:r>
        <w:rPr>
          <w:rFonts w:ascii="Times New Roman" w:hAnsi="Times New Roman"/>
          <w:sz w:val="26"/>
          <w:szCs w:val="26"/>
        </w:rPr>
        <w:t xml:space="preserve">убцовска Алтайского края, </w:t>
      </w:r>
      <w:r w:rsidRPr="00CD2F23">
        <w:rPr>
          <w:rFonts w:ascii="Times New Roman" w:hAnsi="Times New Roman"/>
          <w:sz w:val="26"/>
          <w:szCs w:val="26"/>
        </w:rPr>
        <w:t>МКУ «Управление культуры, с</w:t>
      </w:r>
      <w:r>
        <w:rPr>
          <w:rFonts w:ascii="Times New Roman" w:hAnsi="Times New Roman"/>
          <w:sz w:val="26"/>
          <w:szCs w:val="26"/>
        </w:rPr>
        <w:t>порта и молодежной политики» г.</w:t>
      </w:r>
      <w:r w:rsidRPr="00CD2F23">
        <w:rPr>
          <w:rFonts w:ascii="Times New Roman" w:hAnsi="Times New Roman"/>
          <w:sz w:val="26"/>
          <w:szCs w:val="26"/>
        </w:rPr>
        <w:t>Рубцовска на основе значений индикаторов по следующим формулам (исходными данными для оценки являются отчеты муниципальных учреждений культуры за соответствующий период):</w:t>
      </w:r>
    </w:p>
    <w:p w:rsidR="00447EA1" w:rsidRPr="00CD2F23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447EA1" w:rsidRPr="00CD2F23" w:rsidRDefault="00447EA1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= Уокн : Оокн х 100%, где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– доля;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Уокн – количество объектов культурного наследия в удовлетворительном состоянии;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lastRenderedPageBreak/>
        <w:t>Оокн - общее количество объектов культурного наследия.</w:t>
      </w:r>
    </w:p>
    <w:p w:rsidR="00447EA1" w:rsidRPr="00CD2F23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447EA1" w:rsidRPr="00CD2F23" w:rsidRDefault="00447EA1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= УЗук : ОЗук х 100%, где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– доля;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УЗук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</w:t>
      </w:r>
      <w:r w:rsidRPr="000172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ОЗук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собственности.</w:t>
      </w:r>
    </w:p>
    <w:p w:rsidR="00447EA1" w:rsidRPr="00CD2F23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447EA1" w:rsidRPr="00CD2F23" w:rsidRDefault="00447EA1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= Умтб : Омтб х 100%, где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– доля;</w:t>
      </w:r>
    </w:p>
    <w:p w:rsidR="00447EA1" w:rsidRPr="00CD2F23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Умтб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удовлетворительным;</w:t>
      </w:r>
    </w:p>
    <w:p w:rsidR="00447EA1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Омтб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 xml:space="preserve">в муниципальной собственности. </w:t>
      </w:r>
    </w:p>
    <w:p w:rsidR="00447EA1" w:rsidRDefault="00447EA1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447EA1" w:rsidRDefault="00447EA1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= Пмп : Окмп х 100%, где</w:t>
      </w:r>
    </w:p>
    <w:p w:rsidR="00447EA1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– доля;</w:t>
      </w:r>
    </w:p>
    <w:p w:rsidR="00447EA1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Пмп – представленные музейные предметы;</w:t>
      </w:r>
    </w:p>
    <w:p w:rsidR="00447EA1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Окмп - общее количество музейных предметов основного фонда учреждений музейного типа.</w:t>
      </w:r>
    </w:p>
    <w:p w:rsidR="00447EA1" w:rsidRDefault="00447EA1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города:</w:t>
      </w:r>
    </w:p>
    <w:p w:rsidR="00447EA1" w:rsidRDefault="00447EA1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Доудо = Оудо : Очдоо х 100%, где</w:t>
      </w:r>
    </w:p>
    <w:p w:rsidR="00447EA1" w:rsidRDefault="00447EA1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Доудо – доля;</w:t>
      </w:r>
    </w:p>
    <w:p w:rsidR="00447EA1" w:rsidRDefault="00447EA1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Оудо –</w:t>
      </w:r>
      <w:r w:rsidRPr="00756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численность обучающихся в учреждениях дополнительного образования в области культуры;</w:t>
      </w:r>
    </w:p>
    <w:p w:rsidR="00447EA1" w:rsidRDefault="00447EA1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Очдоо - общая численность детей, обучающихся в общеобразовательных организациях города.  </w:t>
      </w:r>
    </w:p>
    <w:p w:rsidR="00447EA1" w:rsidRDefault="00447EA1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447EA1" w:rsidSect="0007241D">
          <w:footerReference w:type="even" r:id="rId18"/>
          <w:footerReference w:type="default" r:id="rId19"/>
          <w:pgSz w:w="11906" w:h="16838"/>
          <w:pgMar w:top="899" w:right="850" w:bottom="899" w:left="1701" w:header="709" w:footer="709" w:gutter="0"/>
          <w:cols w:space="708"/>
          <w:docGrid w:linePitch="360"/>
        </w:sectPr>
      </w:pPr>
    </w:p>
    <w:p w:rsidR="00447EA1" w:rsidRPr="00A70B1D" w:rsidRDefault="00447EA1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</w:t>
      </w:r>
      <w:r w:rsidRPr="00A70B1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Сроки и этапы реализации программы.</w:t>
      </w:r>
    </w:p>
    <w:p w:rsidR="00447EA1" w:rsidRPr="00A70B1D" w:rsidRDefault="00447EA1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программы рассчитана на три года с 2018 по 2020 год. Деление на этапы не предусмотрено.</w:t>
      </w:r>
    </w:p>
    <w:p w:rsidR="00447EA1" w:rsidRPr="00A70B1D" w:rsidRDefault="00447EA1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2063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447EA1" w:rsidRPr="00A70B1D" w:rsidRDefault="00447EA1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театра;</w:t>
      </w:r>
    </w:p>
    <w:p w:rsidR="00447EA1" w:rsidRPr="00A70B1D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актами.</w:t>
      </w:r>
    </w:p>
    <w:p w:rsidR="00447EA1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2.</w:t>
      </w:r>
    </w:p>
    <w:p w:rsidR="00447EA1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A1" w:rsidRPr="00EE20C4" w:rsidRDefault="00447EA1" w:rsidP="00C220F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EE20C4">
        <w:rPr>
          <w:rFonts w:ascii="Times New Roman" w:hAnsi="Times New Roman"/>
          <w:sz w:val="26"/>
          <w:szCs w:val="26"/>
          <w:lang w:eastAsia="ru-RU"/>
        </w:rPr>
        <w:t>2</w:t>
      </w:r>
    </w:p>
    <w:p w:rsidR="00447EA1" w:rsidRDefault="00447EA1" w:rsidP="00C220F4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7EA1" w:rsidRPr="00EE20C4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447EA1" w:rsidRPr="00EE20C4" w:rsidRDefault="00447EA1" w:rsidP="00C220F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734" w:type="dxa"/>
        <w:tblInd w:w="108" w:type="dxa"/>
        <w:tblLayout w:type="fixed"/>
        <w:tblLook w:val="0000"/>
      </w:tblPr>
      <w:tblGrid>
        <w:gridCol w:w="474"/>
        <w:gridCol w:w="2967"/>
        <w:gridCol w:w="3992"/>
        <w:gridCol w:w="2034"/>
        <w:gridCol w:w="959"/>
        <w:gridCol w:w="900"/>
        <w:gridCol w:w="900"/>
        <w:gridCol w:w="900"/>
        <w:gridCol w:w="1608"/>
      </w:tblGrid>
      <w:tr w:rsidR="00447EA1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Цели программы,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Исполнители программы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Сумма расходов,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Источники финансирования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задачи программы,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тыс.рублей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мероприятия программы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9</w:t>
            </w:r>
          </w:p>
        </w:tc>
      </w:tr>
      <w:tr w:rsidR="00447EA1" w:rsidRPr="0007241D" w:rsidTr="002F437D"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Программа "Развитие культуры города Рубцовска" на 2018 - 2020 годы</w:t>
            </w:r>
          </w:p>
        </w:tc>
      </w:tr>
      <w:tr w:rsidR="00447EA1" w:rsidRPr="0007241D" w:rsidTr="002F437D">
        <w:trPr>
          <w:trHeight w:val="24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153834,4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80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172713,8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154356,3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480904,5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5322,1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8734</w:t>
            </w:r>
            <w:r w:rsidR="00447EA1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14057,0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657</w:t>
            </w:r>
            <w:r w:rsidR="00447EA1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100</w:t>
            </w:r>
            <w:r w:rsidR="00447EA1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2060</w:t>
            </w:r>
            <w:r w:rsidR="00447EA1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120465,8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135992,4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126027,3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803E43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03E4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382485,5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2F437D">
        <w:trPr>
          <w:trHeight w:val="41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27643,4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27329,0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27329,0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82301,4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средства</w:t>
            </w:r>
          </w:p>
        </w:tc>
      </w:tr>
      <w:tr w:rsidR="00447EA1" w:rsidRPr="0007241D" w:rsidTr="0007241D">
        <w:trPr>
          <w:trHeight w:val="179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14511,9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47526,1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14511,9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803E4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47526,1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2F437D">
        <w:trPr>
          <w:trHeight w:val="5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447EA1" w:rsidRPr="0007241D" w:rsidTr="002F437D">
        <w:trPr>
          <w:trHeight w:val="14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14361,9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18060,0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46976,1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14361,9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18060,0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46976,1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4D2221">
        <w:trPr>
          <w:trHeight w:val="33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447EA1" w:rsidRPr="0007241D" w:rsidTr="002F437D">
        <w:trPr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33230,1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37586,7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34259,2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105076,0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27045,2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31048,7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27721,2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85815,1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4D2221">
        <w:trPr>
          <w:trHeight w:val="523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6184,9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6538,0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6538,0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5F0E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</w:t>
            </w:r>
            <w:r w:rsidR="005F0E8B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260,9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Реализация дополнительных предпрофессиональных и общеразвивающих программ по направлениям системы дополнительного образования в области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культуры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27884,5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31836,5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28145,1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87866,1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25936,2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29781,4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26090,0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81807,6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6058,5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5345,6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5750,2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5874,1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16969,9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447EA1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1267,3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1391,2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3767,5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447EA1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4482,9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4482,9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5F0E8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13202,4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07241D" w:rsidRDefault="00447EA1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7128E" w:rsidRPr="0007241D" w:rsidTr="00864AEA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E7128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E712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2.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 Проведение текущих ремонтов,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7128E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7128E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7128E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28E" w:rsidRPr="0007241D" w:rsidRDefault="00E7128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</w:t>
            </w: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41961,6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44790,8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39690,3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126442,7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34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34855,1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38742,0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33641,5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107238,6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7106,5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6048,8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6048,8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19204,1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32450,8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35643,4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29766,2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97860,4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29584,3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32899,9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27022,7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89506,9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2866,5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8353,5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EC3A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EC3A9C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8677,3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6646,7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23074,0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4437,3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3341,4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4444,7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12223,7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3305,3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3305,3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10850,6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EC3A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EC3A9C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3.3. </w:t>
            </w:r>
            <w:r w:rsidRPr="0007241D">
              <w:rPr>
                <w:rFonts w:ascii="Times New Roman" w:hAnsi="Times New Roman"/>
                <w:sz w:val="19"/>
                <w:szCs w:val="19"/>
              </w:rPr>
              <w:t>Организация и проведение  культурно-массовых мероприятий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 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1506,7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4350,2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1506,7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201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4350,2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E17F4F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EC3A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EC3A9C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3.4. Проведение текущих ремонтов,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1158,1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32645F">
        <w:trPr>
          <w:trHeight w:val="1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32645F">
        <w:trPr>
          <w:trHeight w:val="3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32645F">
        <w:trPr>
          <w:trHeight w:val="1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32645F">
        <w:trPr>
          <w:trHeight w:val="32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EC3A9C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1158,1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32645F">
        <w:trPr>
          <w:trHeight w:val="34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EC3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</w:t>
            </w:r>
            <w:r w:rsidR="00EC3A9C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</w:t>
            </w: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4. Обеспечение предоставления услуг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12043,3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10979,7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34497,6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3612,1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10042,9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4862,5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7862,5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24454,7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F93AE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F93AE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4.1.Выполнение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12043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5699,1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12043D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17987,6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2594,1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8473,4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3304,2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9514,2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5213,1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5252,3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16281,7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1341,2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5425,5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4757,5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4757,5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14940,5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4.3. Проведение текущего ремонта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Проведение текущего ремонта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228,3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E17F4F">
        <w:trPr>
          <w:trHeight w:val="48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228,3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E17F4F">
        <w:trPr>
          <w:trHeight w:val="48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8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</w:t>
            </w:r>
            <w:r w:rsidR="006E2E0E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5. Повышение доступности и качества музейных услуг и работ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9375,8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10478,0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9461,1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29314,9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9241,3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25737,3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3577,6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9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F93AE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F93AE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8253,4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7080,0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22084,7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6670,2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8144,3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6970,9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21785,4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5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2316,5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2161,1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2249,0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6726,6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3448,3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3278,3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21</w:t>
            </w:r>
            <w:r w:rsidR="006E2E0E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5.3</w:t>
            </w:r>
            <w:r w:rsidRPr="0007241D">
              <w:rPr>
                <w:rFonts w:ascii="Times New Roman" w:hAnsi="Times New Roman"/>
                <w:sz w:val="19"/>
                <w:szCs w:val="19"/>
              </w:rPr>
              <w:t>. Организация и проведение  музейных просветительско-информационных мероприятий,  экскурсий, тематических программ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 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371,5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6E2E0E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371,5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6E2E0E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E0E" w:rsidRPr="0007241D" w:rsidRDefault="006E2E0E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864AEA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22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F93AE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.4. Проведение текущих ремонтов,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F93AE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132,1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132,1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F9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</w:t>
            </w: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23150,0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24878,6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23196,8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71225,4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67,2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1007,6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22351,2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24333,3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21651,5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68336,0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1814,6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18628,9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21566,5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19369,5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59564,9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18627,4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21549,5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19352,5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59529,4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25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6.2. Содержание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4410,3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3149,6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2527,3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10087,2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1999,0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8308,1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1779,1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6.3.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 количества экземпляров библиотечного фонда библиотек города Рубцовска, входящих в структуру МБУК «БИС»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  <w:r w:rsidR="00F93AE7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Мероприятие 6.4. 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Проведение работ по оцифровке периодических изданий, документов и книг, расширение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доступа к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оцифрованным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изданиям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хранящимся в библиотеках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7E46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7E4629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</w:t>
            </w:r>
            <w:r w:rsidR="007E4629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6.5. Организация и проведение библиотечных просветительско-информационных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7E4629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</w:t>
            </w:r>
            <w:r w:rsidR="00F93AE7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</w:t>
            </w:r>
            <w:r w:rsidR="007E4629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6.6 </w:t>
            </w:r>
            <w:r w:rsidR="007E4629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Проведение текущего ремонта,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6E1238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6E1238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438,2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7E4629" w:rsidRPr="0007241D" w:rsidTr="00864AEA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7E46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Создание виртуального концертного зала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7E4629" w:rsidRDefault="007E4629" w:rsidP="00864AEA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  <w:lang w:eastAsia="ru-RU"/>
              </w:rPr>
              <w:t>????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7E4629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7E4629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7E4629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7E4629" w:rsidRPr="0007241D" w:rsidTr="00864AEA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7E4629" w:rsidRPr="0007241D" w:rsidTr="00864AEA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629" w:rsidRPr="0007241D" w:rsidRDefault="007E4629" w:rsidP="00864A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</w:t>
            </w:r>
            <w:r w:rsidR="00F93AE7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7.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театр», МБУК «Театр кукол им. А.К. Брахмана»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театр», 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19319,4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28592,5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18084,6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65996,5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8734,9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13989,8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1053</w:t>
            </w:r>
            <w:r w:rsidR="00F93AE7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9874,9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14102,4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12986,9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36964,2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5097,7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5097,7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13989,5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32</w:t>
            </w:r>
            <w:r w:rsidR="00F93AE7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Ежегодное обновление театрального репертуара (не менее 5 новых спектаклей)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8660,5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12641,1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11533,3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32834,9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11367,4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10259,6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29208,1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1273,7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1273,7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3626,8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864AEA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6434,0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6477,7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17599,5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7236,8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3824,0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3824,0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864AEA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10362,7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864A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864AEA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3238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«Рубцовский драматический театр»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5700,4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5700,4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11400,8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3238C0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10509,8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791,0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3238C0" w:rsidRPr="0007241D" w:rsidTr="00B1398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3238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3238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 Поддержка творческой деятельности и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техническое оснащение детских и кукольных театров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3767,0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3767,0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3238C0" w:rsidRPr="0007241D" w:rsidTr="00B1398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3238C0" w:rsidRPr="0007241D" w:rsidTr="00B1398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3480,0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3480,0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3238C0" w:rsidRPr="0007241D" w:rsidTr="00B1398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3238C0" w:rsidRPr="0007241D" w:rsidTr="00B1398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3238C0" w:rsidRPr="0007241D" w:rsidTr="00B1398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C0" w:rsidRPr="0007241D" w:rsidRDefault="003238C0" w:rsidP="00B139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AE7" w:rsidRPr="0007241D" w:rsidRDefault="00F93AE7" w:rsidP="00C71CB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C71CB2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7.5 </w:t>
            </w:r>
            <w:r w:rsidR="00F93AE7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Проведение текущего ремонта,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394,3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394,3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</w:t>
            </w:r>
            <w:r w:rsidR="00F93AE7"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8.  Привлечение социально ориентированных некоммерческих организаций к совместному оказанию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C71CB2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38</w:t>
            </w:r>
            <w:r w:rsidR="00F93AE7"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8.1. Оказание поддержки СОНКО в форме предоставления в безвозмездное пользование муниципальных помещений, в порядке установленном законодательством РФ и  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муниципальными нормативно-правовыми актами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F93AE7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F93AE7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E7" w:rsidRPr="0007241D" w:rsidRDefault="00F93AE7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</w:tbl>
    <w:p w:rsidR="00447EA1" w:rsidRDefault="00447EA1" w:rsidP="00C220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  <w:r>
        <w:rPr>
          <w:rFonts w:ascii="Times New Roman" w:hAnsi="Times New Roman"/>
          <w:sz w:val="26"/>
          <w:szCs w:val="26"/>
        </w:rPr>
        <w:t>необходимых для реализации</w:t>
      </w:r>
      <w:r w:rsidRPr="00A70B1D">
        <w:rPr>
          <w:rFonts w:ascii="Times New Roman" w:hAnsi="Times New Roman"/>
          <w:sz w:val="26"/>
          <w:szCs w:val="26"/>
        </w:rPr>
        <w:t xml:space="preserve"> программы</w:t>
      </w:r>
    </w:p>
    <w:p w:rsidR="00447EA1" w:rsidRPr="00A70B1D" w:rsidRDefault="00447EA1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A1" w:rsidRPr="0082120C" w:rsidRDefault="00447EA1" w:rsidP="00C220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Общий объем финансирования программы составляет </w:t>
      </w:r>
      <w:r w:rsidR="00DF0A82">
        <w:rPr>
          <w:rFonts w:ascii="Times New Roman" w:hAnsi="Times New Roman"/>
          <w:sz w:val="26"/>
          <w:szCs w:val="26"/>
          <w:lang w:eastAsia="ar-SA"/>
        </w:rPr>
        <w:t>480904,5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 тыс. рублей, в том числе по годам:</w:t>
      </w:r>
    </w:p>
    <w:p w:rsidR="00447EA1" w:rsidRPr="0082120C" w:rsidRDefault="00447EA1" w:rsidP="00C220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153834,4 тыс. руб.;</w:t>
      </w:r>
    </w:p>
    <w:p w:rsidR="00447EA1" w:rsidRPr="0082120C" w:rsidRDefault="00447EA1" w:rsidP="00C220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</w:t>
      </w:r>
      <w:r w:rsidR="00DF0A82">
        <w:rPr>
          <w:rFonts w:ascii="Times New Roman" w:hAnsi="Times New Roman"/>
          <w:sz w:val="26"/>
          <w:szCs w:val="26"/>
          <w:lang w:eastAsia="ar-SA"/>
        </w:rPr>
        <w:t xml:space="preserve"> 172713,8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447EA1" w:rsidRPr="0082120C" w:rsidRDefault="00447EA1" w:rsidP="00C220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1</w:t>
      </w:r>
      <w:r w:rsidR="00DF0A82">
        <w:rPr>
          <w:rFonts w:ascii="Times New Roman" w:hAnsi="Times New Roman"/>
          <w:sz w:val="26"/>
          <w:szCs w:val="26"/>
          <w:lang w:eastAsia="ar-SA"/>
        </w:rPr>
        <w:t>54356,3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</w:p>
    <w:p w:rsidR="00447EA1" w:rsidRPr="0082120C" w:rsidRDefault="00447EA1" w:rsidP="00C220F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447EA1" w:rsidRPr="0082120C" w:rsidRDefault="00447EA1" w:rsidP="00C220F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федеральный бюджет –1</w:t>
      </w:r>
      <w:r w:rsidR="00DF0A82">
        <w:rPr>
          <w:rFonts w:ascii="Times New Roman" w:hAnsi="Times New Roman"/>
          <w:sz w:val="26"/>
          <w:szCs w:val="26"/>
          <w:lang w:eastAsia="ar-SA"/>
        </w:rPr>
        <w:t>405</w:t>
      </w:r>
      <w:r w:rsidRPr="0082120C">
        <w:rPr>
          <w:rFonts w:ascii="Times New Roman" w:hAnsi="Times New Roman"/>
          <w:sz w:val="26"/>
          <w:szCs w:val="26"/>
          <w:lang w:eastAsia="ar-SA"/>
        </w:rPr>
        <w:t>7,0 тыс.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2120C">
        <w:rPr>
          <w:rFonts w:ascii="Times New Roman" w:hAnsi="Times New Roman"/>
          <w:sz w:val="26"/>
          <w:szCs w:val="26"/>
          <w:lang w:eastAsia="ar-SA"/>
        </w:rPr>
        <w:t>руб., в том числе по годам:</w:t>
      </w:r>
    </w:p>
    <w:p w:rsidR="00447EA1" w:rsidRPr="0082120C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- 5322,1 тыс. руб.;</w:t>
      </w:r>
    </w:p>
    <w:p w:rsidR="00447EA1" w:rsidRPr="0082120C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8734</w:t>
      </w:r>
      <w:r w:rsidRPr="0082120C">
        <w:rPr>
          <w:rFonts w:ascii="Times New Roman" w:hAnsi="Times New Roman"/>
          <w:sz w:val="26"/>
          <w:szCs w:val="26"/>
          <w:lang w:eastAsia="ar-SA"/>
        </w:rPr>
        <w:t>,9 тыс. руб.;</w:t>
      </w:r>
    </w:p>
    <w:p w:rsidR="00447EA1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447EA1" w:rsidRPr="0082120C" w:rsidRDefault="00447EA1" w:rsidP="004D22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краевой бюджет –</w:t>
      </w:r>
      <w:r w:rsidR="00DF0A82">
        <w:rPr>
          <w:rFonts w:ascii="Times New Roman" w:hAnsi="Times New Roman"/>
          <w:sz w:val="26"/>
          <w:szCs w:val="26"/>
          <w:lang w:eastAsia="ar-SA"/>
        </w:rPr>
        <w:t xml:space="preserve"> 2060,5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тыс.руб., в том числе по годам: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- 403,1 тыс. руб.;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657,5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1000,0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</w:p>
    <w:p w:rsidR="00447EA1" w:rsidRPr="0082120C" w:rsidRDefault="00447EA1" w:rsidP="004D22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бюджет города – </w:t>
      </w:r>
      <w:r w:rsidR="00DF0A82">
        <w:rPr>
          <w:rFonts w:ascii="Times New Roman" w:hAnsi="Times New Roman"/>
          <w:sz w:val="26"/>
          <w:szCs w:val="26"/>
          <w:lang w:eastAsia="ar-SA"/>
        </w:rPr>
        <w:t>382485,5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руб., в том числе по годам: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120465,8 тыс. руб.;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135992,4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126027,3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</w:p>
    <w:p w:rsidR="00447EA1" w:rsidRPr="0082120C" w:rsidRDefault="00447EA1" w:rsidP="004D22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внебюджетные средства учреждений культуры города – </w:t>
      </w:r>
      <w:r w:rsidR="00DF0A82">
        <w:rPr>
          <w:rFonts w:ascii="Times New Roman" w:hAnsi="Times New Roman"/>
          <w:sz w:val="26"/>
          <w:szCs w:val="26"/>
          <w:lang w:eastAsia="ar-SA"/>
        </w:rPr>
        <w:t>82301</w:t>
      </w:r>
      <w:r w:rsidRPr="0082120C">
        <w:rPr>
          <w:rFonts w:ascii="Times New Roman" w:hAnsi="Times New Roman"/>
          <w:sz w:val="26"/>
          <w:szCs w:val="26"/>
          <w:lang w:eastAsia="ar-SA"/>
        </w:rPr>
        <w:t>,4 тыс. руб., в том числе по годам: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27643,4 тыс. руб.;</w:t>
      </w:r>
    </w:p>
    <w:p w:rsidR="00447EA1" w:rsidRPr="0082120C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27329,0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447EA1" w:rsidRDefault="00447EA1" w:rsidP="004D222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 w:rsidR="00DF0A82">
        <w:rPr>
          <w:rFonts w:ascii="Times New Roman" w:hAnsi="Times New Roman"/>
          <w:sz w:val="26"/>
          <w:szCs w:val="26"/>
          <w:lang w:eastAsia="ar-SA"/>
        </w:rPr>
        <w:t>27329,0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47EA1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7EA1" w:rsidRPr="0082120C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7EA1" w:rsidRPr="0082120C" w:rsidRDefault="00447EA1" w:rsidP="00C220F4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  <w:sectPr w:rsidR="00447EA1" w:rsidRPr="0082120C" w:rsidSect="00EB69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7EA1" w:rsidRPr="00A70B1D" w:rsidRDefault="00447EA1" w:rsidP="00C220F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lastRenderedPageBreak/>
        <w:t>Финансирование программы из внебюджетных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источников осуществляется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447EA1" w:rsidRPr="00A70B1D" w:rsidRDefault="00447EA1" w:rsidP="00C220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6B87">
        <w:rPr>
          <w:rFonts w:ascii="Times New Roman" w:hAnsi="Times New Roman"/>
          <w:sz w:val="26"/>
          <w:szCs w:val="26"/>
          <w:lang w:eastAsia="ar-SA"/>
        </w:rPr>
        <w:t xml:space="preserve">Финансовые средства в сумме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9E15DB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863,7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 руб., предусмотренные на капитальные вложения, направляются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на приобретение музыкальных инструментов в детских школах искусств (400,0 тыс.руб.), светового и звукового оборудования в культурно-досуговых учреждениях (339,9 тыс.руб.), оборудования для выставочной деятельности в МБУК «Краеведческий музей» г. Рубцовска (100,0 тыс.руб.), аттракционов в МБУК «КДО «Прометей» (300,0 тыс.руб.), светового и звукового оборудования в МБУК «Рубцовский драматический театр» (</w:t>
      </w:r>
      <w:r>
        <w:rPr>
          <w:rFonts w:ascii="Times New Roman" w:hAnsi="Times New Roman"/>
          <w:sz w:val="26"/>
          <w:szCs w:val="26"/>
          <w:lang w:eastAsia="ar-SA"/>
        </w:rPr>
        <w:t>10623,8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тыс.руб.) и </w:t>
      </w:r>
      <w:r w:rsidR="009E15DB">
        <w:rPr>
          <w:rFonts w:ascii="Times New Roman" w:hAnsi="Times New Roman"/>
          <w:sz w:val="26"/>
          <w:szCs w:val="26"/>
          <w:lang w:eastAsia="ar-SA"/>
        </w:rPr>
        <w:t>оборудования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в МБУК «БИС» (</w:t>
      </w:r>
      <w:r w:rsidR="009E15DB">
        <w:rPr>
          <w:rFonts w:ascii="Times New Roman" w:hAnsi="Times New Roman"/>
          <w:sz w:val="26"/>
          <w:szCs w:val="26"/>
          <w:lang w:eastAsia="ar-SA"/>
        </w:rPr>
        <w:t>1</w:t>
      </w:r>
      <w:r w:rsidRPr="00096B87">
        <w:rPr>
          <w:rFonts w:ascii="Times New Roman" w:hAnsi="Times New Roman"/>
          <w:sz w:val="26"/>
          <w:szCs w:val="26"/>
          <w:lang w:eastAsia="ar-SA"/>
        </w:rPr>
        <w:t>100,0 тыс.руб.).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447EA1" w:rsidRDefault="00447EA1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7EA1" w:rsidRDefault="00447EA1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№ 3</w:t>
      </w: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437D">
        <w:rPr>
          <w:rFonts w:ascii="Times New Roman" w:hAnsi="Times New Roman"/>
          <w:sz w:val="26"/>
          <w:szCs w:val="26"/>
          <w:lang w:eastAsia="ru-RU"/>
        </w:rPr>
        <w:t>Объем финансовых ресурсов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F437D">
        <w:rPr>
          <w:rFonts w:ascii="Times New Roman" w:hAnsi="Times New Roman"/>
          <w:sz w:val="26"/>
          <w:szCs w:val="26"/>
          <w:lang w:eastAsia="ru-RU"/>
        </w:rPr>
        <w:t>необходимы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2F437D">
        <w:rPr>
          <w:rFonts w:ascii="Times New Roman" w:hAnsi="Times New Roman"/>
          <w:sz w:val="26"/>
          <w:szCs w:val="26"/>
          <w:lang w:eastAsia="ru-RU"/>
        </w:rPr>
        <w:t xml:space="preserve"> для реализации программы</w:t>
      </w:r>
    </w:p>
    <w:p w:rsidR="00447EA1" w:rsidRDefault="00447EA1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95" w:type="dxa"/>
        <w:tblInd w:w="93" w:type="dxa"/>
        <w:tblLook w:val="0000"/>
      </w:tblPr>
      <w:tblGrid>
        <w:gridCol w:w="4731"/>
        <w:gridCol w:w="1116"/>
        <w:gridCol w:w="1116"/>
        <w:gridCol w:w="1116"/>
        <w:gridCol w:w="1116"/>
      </w:tblGrid>
      <w:tr w:rsidR="00447EA1" w:rsidRPr="002063AC" w:rsidTr="002F437D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153834,4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172713,8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154356,3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480904,5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135992,4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126027,3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382485,5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2060,6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14057,0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82301,4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47EA1"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9E15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E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863,7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47EA1"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7EA1"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675,4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4499,1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4439,2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8938,3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148394,1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167090,4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152556,3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9E15DB" w:rsidP="00C220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468040,8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382335,5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385,2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C00FAB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80201,4</w:t>
            </w:r>
          </w:p>
        </w:tc>
      </w:tr>
      <w:tr w:rsidR="00447EA1" w:rsidRPr="002063A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27043,4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21823,7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40244,3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A1" w:rsidRPr="002063AC" w:rsidRDefault="00447EA1" w:rsidP="00C22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89111,4</w:t>
            </w:r>
          </w:p>
        </w:tc>
      </w:tr>
    </w:tbl>
    <w:p w:rsidR="00447EA1" w:rsidRDefault="00447EA1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447EA1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 </w:t>
      </w:r>
    </w:p>
    <w:p w:rsidR="00447EA1" w:rsidRDefault="00447EA1" w:rsidP="00C220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447EA1" w:rsidSect="00206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7EA1" w:rsidRPr="00A70B1D" w:rsidRDefault="00447EA1" w:rsidP="002063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6. Оценка эффективности программы</w:t>
      </w:r>
    </w:p>
    <w:p w:rsidR="00447EA1" w:rsidRPr="00A70B1D" w:rsidRDefault="00447EA1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осуществляется согласно </w:t>
      </w:r>
      <w:hyperlink r:id="rId20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447EA1" w:rsidRPr="00A70B1D" w:rsidRDefault="00447EA1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47EA1" w:rsidRPr="00A70B1D" w:rsidRDefault="00447EA1" w:rsidP="002063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447EA1" w:rsidRPr="00A70B1D" w:rsidRDefault="00447EA1" w:rsidP="00C220F4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447EA1" w:rsidRPr="00A70B1D" w:rsidRDefault="00447EA1" w:rsidP="00C220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447EA1" w:rsidRPr="00A70B1D" w:rsidRDefault="00447EA1" w:rsidP="00C22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447EA1" w:rsidRPr="00A70B1D" w:rsidRDefault="00447EA1" w:rsidP="00C22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447EA1" w:rsidRPr="00A70B1D" w:rsidRDefault="00447EA1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</w:t>
      </w:r>
      <w:r>
        <w:rPr>
          <w:rFonts w:ascii="Times New Roman" w:hAnsi="Times New Roman"/>
          <w:sz w:val="26"/>
          <w:szCs w:val="26"/>
        </w:rPr>
        <w:t>ского края от 14.10.2016 № 4337.».</w:t>
      </w:r>
    </w:p>
    <w:p w:rsidR="00447EA1" w:rsidRPr="00A70B1D" w:rsidRDefault="00447EA1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A1" w:rsidRDefault="00447EA1" w:rsidP="00C220F4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447EA1" w:rsidRDefault="00447EA1" w:rsidP="00C220F4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447EA1" w:rsidRDefault="00447EA1" w:rsidP="002063AC">
      <w:pPr>
        <w:tabs>
          <w:tab w:val="left" w:pos="7380"/>
        </w:tabs>
        <w:spacing w:after="0" w:line="240" w:lineRule="auto"/>
        <w:jc w:val="both"/>
        <w:outlineLvl w:val="0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</w:p>
    <w:sectPr w:rsidR="00447EA1" w:rsidSect="00206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1F" w:rsidRDefault="0076281F">
      <w:r>
        <w:separator/>
      </w:r>
    </w:p>
  </w:endnote>
  <w:endnote w:type="continuationSeparator" w:id="1">
    <w:p w:rsidR="0076281F" w:rsidRDefault="0076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EA" w:rsidRDefault="00864AEA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4AEA" w:rsidRDefault="00864AEA" w:rsidP="00FF79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EA" w:rsidRDefault="00864AEA" w:rsidP="00FF793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1F" w:rsidRDefault="0076281F">
      <w:r>
        <w:separator/>
      </w:r>
    </w:p>
  </w:footnote>
  <w:footnote w:type="continuationSeparator" w:id="1">
    <w:p w:rsidR="0076281F" w:rsidRDefault="0076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7258"/>
    <w:rsid w:val="00053298"/>
    <w:rsid w:val="0005577B"/>
    <w:rsid w:val="00057B0D"/>
    <w:rsid w:val="0006304E"/>
    <w:rsid w:val="00063E14"/>
    <w:rsid w:val="0007241D"/>
    <w:rsid w:val="00072738"/>
    <w:rsid w:val="00085BA9"/>
    <w:rsid w:val="000907F3"/>
    <w:rsid w:val="00091585"/>
    <w:rsid w:val="00096626"/>
    <w:rsid w:val="00096B87"/>
    <w:rsid w:val="000C2A2B"/>
    <w:rsid w:val="000E1193"/>
    <w:rsid w:val="000E11B8"/>
    <w:rsid w:val="000E1495"/>
    <w:rsid w:val="00115B0F"/>
    <w:rsid w:val="0012043D"/>
    <w:rsid w:val="00126ADA"/>
    <w:rsid w:val="0013197A"/>
    <w:rsid w:val="001406E3"/>
    <w:rsid w:val="00150409"/>
    <w:rsid w:val="0016654F"/>
    <w:rsid w:val="001A022B"/>
    <w:rsid w:val="001C0239"/>
    <w:rsid w:val="001C08E3"/>
    <w:rsid w:val="001C269E"/>
    <w:rsid w:val="001C2ECE"/>
    <w:rsid w:val="001C400B"/>
    <w:rsid w:val="001D5C16"/>
    <w:rsid w:val="001F4BD7"/>
    <w:rsid w:val="001F6B60"/>
    <w:rsid w:val="001F7154"/>
    <w:rsid w:val="002063AC"/>
    <w:rsid w:val="00234A71"/>
    <w:rsid w:val="00236B77"/>
    <w:rsid w:val="002438C4"/>
    <w:rsid w:val="002508D5"/>
    <w:rsid w:val="002543C7"/>
    <w:rsid w:val="00267511"/>
    <w:rsid w:val="002703A4"/>
    <w:rsid w:val="00273CEC"/>
    <w:rsid w:val="002A1DF0"/>
    <w:rsid w:val="002A4345"/>
    <w:rsid w:val="002A4BC7"/>
    <w:rsid w:val="002B50FC"/>
    <w:rsid w:val="002C78F8"/>
    <w:rsid w:val="002D7D42"/>
    <w:rsid w:val="002E547A"/>
    <w:rsid w:val="002E57F9"/>
    <w:rsid w:val="002F437D"/>
    <w:rsid w:val="002F6ABA"/>
    <w:rsid w:val="00301A53"/>
    <w:rsid w:val="0030422F"/>
    <w:rsid w:val="0031429E"/>
    <w:rsid w:val="00322FDF"/>
    <w:rsid w:val="003238C0"/>
    <w:rsid w:val="0032572F"/>
    <w:rsid w:val="0032645F"/>
    <w:rsid w:val="003310D9"/>
    <w:rsid w:val="00345D9A"/>
    <w:rsid w:val="00397D76"/>
    <w:rsid w:val="003A222E"/>
    <w:rsid w:val="003C256F"/>
    <w:rsid w:val="003E0224"/>
    <w:rsid w:val="003F5F61"/>
    <w:rsid w:val="003F6AF9"/>
    <w:rsid w:val="00401727"/>
    <w:rsid w:val="004140ED"/>
    <w:rsid w:val="00434377"/>
    <w:rsid w:val="00437E65"/>
    <w:rsid w:val="00441FB5"/>
    <w:rsid w:val="00444799"/>
    <w:rsid w:val="00447EA1"/>
    <w:rsid w:val="00451BE4"/>
    <w:rsid w:val="004549CB"/>
    <w:rsid w:val="00464252"/>
    <w:rsid w:val="00465510"/>
    <w:rsid w:val="004833DF"/>
    <w:rsid w:val="0049448F"/>
    <w:rsid w:val="004A23EE"/>
    <w:rsid w:val="004A2850"/>
    <w:rsid w:val="004A4061"/>
    <w:rsid w:val="004A7F94"/>
    <w:rsid w:val="004B3FD0"/>
    <w:rsid w:val="004D2221"/>
    <w:rsid w:val="004E4246"/>
    <w:rsid w:val="004E6C22"/>
    <w:rsid w:val="00500C6F"/>
    <w:rsid w:val="00503447"/>
    <w:rsid w:val="00517949"/>
    <w:rsid w:val="00522FC4"/>
    <w:rsid w:val="0053013C"/>
    <w:rsid w:val="0056477A"/>
    <w:rsid w:val="00570602"/>
    <w:rsid w:val="0058089E"/>
    <w:rsid w:val="00583B4E"/>
    <w:rsid w:val="005932F9"/>
    <w:rsid w:val="005B0BF5"/>
    <w:rsid w:val="005B53F1"/>
    <w:rsid w:val="005C46F5"/>
    <w:rsid w:val="005D0397"/>
    <w:rsid w:val="005E4D8A"/>
    <w:rsid w:val="005F0E8B"/>
    <w:rsid w:val="0061221E"/>
    <w:rsid w:val="00617CE3"/>
    <w:rsid w:val="0063133D"/>
    <w:rsid w:val="0064237D"/>
    <w:rsid w:val="00663D7F"/>
    <w:rsid w:val="00667948"/>
    <w:rsid w:val="00676810"/>
    <w:rsid w:val="006A60B8"/>
    <w:rsid w:val="006A7012"/>
    <w:rsid w:val="006B100F"/>
    <w:rsid w:val="006B2E4B"/>
    <w:rsid w:val="006B54B6"/>
    <w:rsid w:val="006B6C9C"/>
    <w:rsid w:val="006D31A3"/>
    <w:rsid w:val="006E1238"/>
    <w:rsid w:val="006E2E0E"/>
    <w:rsid w:val="006E63DB"/>
    <w:rsid w:val="00710C62"/>
    <w:rsid w:val="007132CD"/>
    <w:rsid w:val="007175C9"/>
    <w:rsid w:val="00724BCE"/>
    <w:rsid w:val="00735B62"/>
    <w:rsid w:val="00740D23"/>
    <w:rsid w:val="007526FF"/>
    <w:rsid w:val="00753E83"/>
    <w:rsid w:val="0075680E"/>
    <w:rsid w:val="0076281F"/>
    <w:rsid w:val="00764513"/>
    <w:rsid w:val="00772A6B"/>
    <w:rsid w:val="00784412"/>
    <w:rsid w:val="007863FC"/>
    <w:rsid w:val="007A3C57"/>
    <w:rsid w:val="007B5F4D"/>
    <w:rsid w:val="007C5E47"/>
    <w:rsid w:val="007E4629"/>
    <w:rsid w:val="007E5567"/>
    <w:rsid w:val="007F2DFE"/>
    <w:rsid w:val="007F3D65"/>
    <w:rsid w:val="00803E43"/>
    <w:rsid w:val="00804599"/>
    <w:rsid w:val="00813129"/>
    <w:rsid w:val="0082120C"/>
    <w:rsid w:val="00842A71"/>
    <w:rsid w:val="0084576A"/>
    <w:rsid w:val="00845F2D"/>
    <w:rsid w:val="0085496C"/>
    <w:rsid w:val="00864AEA"/>
    <w:rsid w:val="008661E4"/>
    <w:rsid w:val="00872A06"/>
    <w:rsid w:val="008733D1"/>
    <w:rsid w:val="00877D28"/>
    <w:rsid w:val="00890DD1"/>
    <w:rsid w:val="00894E47"/>
    <w:rsid w:val="008A162B"/>
    <w:rsid w:val="008B0082"/>
    <w:rsid w:val="008B0C1A"/>
    <w:rsid w:val="008B5D4A"/>
    <w:rsid w:val="008C0111"/>
    <w:rsid w:val="008C33DB"/>
    <w:rsid w:val="008D22C4"/>
    <w:rsid w:val="00900A98"/>
    <w:rsid w:val="009078D6"/>
    <w:rsid w:val="00914DC4"/>
    <w:rsid w:val="00927A4E"/>
    <w:rsid w:val="009341E6"/>
    <w:rsid w:val="00934A89"/>
    <w:rsid w:val="00935223"/>
    <w:rsid w:val="00945269"/>
    <w:rsid w:val="009539AB"/>
    <w:rsid w:val="00955C61"/>
    <w:rsid w:val="00964890"/>
    <w:rsid w:val="00965993"/>
    <w:rsid w:val="00975FCC"/>
    <w:rsid w:val="00991738"/>
    <w:rsid w:val="00992317"/>
    <w:rsid w:val="00992DC0"/>
    <w:rsid w:val="009A0B55"/>
    <w:rsid w:val="009B3CF7"/>
    <w:rsid w:val="009D0AF8"/>
    <w:rsid w:val="009D6022"/>
    <w:rsid w:val="009E01EA"/>
    <w:rsid w:val="009E15DB"/>
    <w:rsid w:val="009E4664"/>
    <w:rsid w:val="009F1F06"/>
    <w:rsid w:val="00A23CAC"/>
    <w:rsid w:val="00A2714A"/>
    <w:rsid w:val="00A3702B"/>
    <w:rsid w:val="00A5605B"/>
    <w:rsid w:val="00A67889"/>
    <w:rsid w:val="00A70B1D"/>
    <w:rsid w:val="00A834D6"/>
    <w:rsid w:val="00A9633C"/>
    <w:rsid w:val="00A97F4A"/>
    <w:rsid w:val="00AA68D2"/>
    <w:rsid w:val="00AB0DEA"/>
    <w:rsid w:val="00AB5180"/>
    <w:rsid w:val="00AE1B1D"/>
    <w:rsid w:val="00AE38D2"/>
    <w:rsid w:val="00AE42AF"/>
    <w:rsid w:val="00AE6C86"/>
    <w:rsid w:val="00AF5D41"/>
    <w:rsid w:val="00AF7B2F"/>
    <w:rsid w:val="00B0155E"/>
    <w:rsid w:val="00B07C9B"/>
    <w:rsid w:val="00B11F20"/>
    <w:rsid w:val="00B260A3"/>
    <w:rsid w:val="00B4437D"/>
    <w:rsid w:val="00B47FEE"/>
    <w:rsid w:val="00B501A7"/>
    <w:rsid w:val="00B65A6C"/>
    <w:rsid w:val="00BA0C58"/>
    <w:rsid w:val="00BA7382"/>
    <w:rsid w:val="00BC6D90"/>
    <w:rsid w:val="00BD084C"/>
    <w:rsid w:val="00BE144B"/>
    <w:rsid w:val="00BE5902"/>
    <w:rsid w:val="00BE6061"/>
    <w:rsid w:val="00BE608C"/>
    <w:rsid w:val="00BE7552"/>
    <w:rsid w:val="00BF39F4"/>
    <w:rsid w:val="00BF6154"/>
    <w:rsid w:val="00C00FAB"/>
    <w:rsid w:val="00C0443A"/>
    <w:rsid w:val="00C21044"/>
    <w:rsid w:val="00C220F4"/>
    <w:rsid w:val="00C31DFC"/>
    <w:rsid w:val="00C344D0"/>
    <w:rsid w:val="00C34F33"/>
    <w:rsid w:val="00C50889"/>
    <w:rsid w:val="00C540E5"/>
    <w:rsid w:val="00C641AC"/>
    <w:rsid w:val="00C71CB2"/>
    <w:rsid w:val="00CA472B"/>
    <w:rsid w:val="00CC030E"/>
    <w:rsid w:val="00CD2F23"/>
    <w:rsid w:val="00CE22B7"/>
    <w:rsid w:val="00CF53D2"/>
    <w:rsid w:val="00D1148B"/>
    <w:rsid w:val="00D20F06"/>
    <w:rsid w:val="00D307E7"/>
    <w:rsid w:val="00D324AB"/>
    <w:rsid w:val="00D60F0C"/>
    <w:rsid w:val="00D61589"/>
    <w:rsid w:val="00D6301F"/>
    <w:rsid w:val="00D6446C"/>
    <w:rsid w:val="00D75BDA"/>
    <w:rsid w:val="00DA01F5"/>
    <w:rsid w:val="00DA0BB8"/>
    <w:rsid w:val="00DB726C"/>
    <w:rsid w:val="00DC3774"/>
    <w:rsid w:val="00DC4B65"/>
    <w:rsid w:val="00DC4EF0"/>
    <w:rsid w:val="00DD6C2F"/>
    <w:rsid w:val="00DF0A82"/>
    <w:rsid w:val="00E04DF8"/>
    <w:rsid w:val="00E10D23"/>
    <w:rsid w:val="00E17F4F"/>
    <w:rsid w:val="00E315C4"/>
    <w:rsid w:val="00E46E2B"/>
    <w:rsid w:val="00E51EDE"/>
    <w:rsid w:val="00E5387B"/>
    <w:rsid w:val="00E7128E"/>
    <w:rsid w:val="00E735BA"/>
    <w:rsid w:val="00EA6EC4"/>
    <w:rsid w:val="00EB2EAA"/>
    <w:rsid w:val="00EB69F6"/>
    <w:rsid w:val="00EC03C0"/>
    <w:rsid w:val="00EC3A9C"/>
    <w:rsid w:val="00EC40CA"/>
    <w:rsid w:val="00ED26B1"/>
    <w:rsid w:val="00ED580B"/>
    <w:rsid w:val="00EE1560"/>
    <w:rsid w:val="00EE20C4"/>
    <w:rsid w:val="00F24DBC"/>
    <w:rsid w:val="00F2681C"/>
    <w:rsid w:val="00F41667"/>
    <w:rsid w:val="00F50C7A"/>
    <w:rsid w:val="00F525F8"/>
    <w:rsid w:val="00F564E6"/>
    <w:rsid w:val="00F65FD8"/>
    <w:rsid w:val="00F702E8"/>
    <w:rsid w:val="00F87598"/>
    <w:rsid w:val="00F93AE7"/>
    <w:rsid w:val="00FA0632"/>
    <w:rsid w:val="00FB002A"/>
    <w:rsid w:val="00FB3041"/>
    <w:rsid w:val="00FC5742"/>
    <w:rsid w:val="00FE4B78"/>
    <w:rsid w:val="00FE678E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1A3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31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31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D31A3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6D31A3"/>
    <w:pPr>
      <w:ind w:left="720"/>
      <w:contextualSpacing/>
    </w:pPr>
  </w:style>
  <w:style w:type="character" w:styleId="a8">
    <w:name w:val="FollowedHyperlink"/>
    <w:basedOn w:val="a0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6D31A3"/>
    <w:rPr>
      <w:rFonts w:cs="Times New Roman"/>
    </w:rPr>
  </w:style>
  <w:style w:type="paragraph" w:styleId="a9">
    <w:name w:val="Normal (Web)"/>
    <w:basedOn w:val="a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F79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34A89"/>
    <w:rPr>
      <w:rFonts w:cs="Times New Roman"/>
      <w:lang w:eastAsia="en-US"/>
    </w:rPr>
  </w:style>
  <w:style w:type="character" w:styleId="ac">
    <w:name w:val="page number"/>
    <w:basedOn w:val="a0"/>
    <w:uiPriority w:val="99"/>
    <w:rsid w:val="00FF793C"/>
    <w:rPr>
      <w:rFonts w:cs="Times New Roman"/>
    </w:rPr>
  </w:style>
  <w:style w:type="paragraph" w:styleId="ad">
    <w:name w:val="header"/>
    <w:basedOn w:val="a"/>
    <w:link w:val="ae"/>
    <w:uiPriority w:val="99"/>
    <w:rsid w:val="00EB69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5329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1FC6344C7CFCC2E11E3D1839E9466D421FBF2DAC49F633845A8490E7D4EF8CD0q8cC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6344C7CFCC2E11E3D1839E9466D421FBF2DAC49F63389588490E7D4EF8CD0q8cCG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consultantplus://offline/ref=1FC6344C7CFCC2E11E3D1839E9466D421FBF2DAC49F6358A5E8490E7D4EF8CD08C9DF0150C3F296D1A8B53q2c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6344C7CFCC2E11E3D1839E9466D421FBF2DAC49F63389588490E7D4EF8CD0q8c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6344C7CFCC2E11E3D1839E9466D421FBF2DAC49F1368A5B8490E7D4EF8CD0q8cCG" TargetMode="External"/><Relationship Id="rId10" Type="http://schemas.openxmlformats.org/officeDocument/2006/relationships/hyperlink" Target="consultantplus://offline/ref=1FC6344C7CFCC2E11E3D0634FF2A334E10B475A14DFB63D00C82C7B884E9D990CC9BA556483228q6c5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1FC6344C7CFCC2E11E3D1839E9466D421FBF2DAC4EF5338F508490E7D4EF8CD0q8c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8D91-9E38-4701-B484-8CCE7936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9117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glavbuh</cp:lastModifiedBy>
  <cp:revision>15</cp:revision>
  <cp:lastPrinted>2019-09-10T07:56:00Z</cp:lastPrinted>
  <dcterms:created xsi:type="dcterms:W3CDTF">2019-10-01T07:37:00Z</dcterms:created>
  <dcterms:modified xsi:type="dcterms:W3CDTF">2020-01-10T03:48:00Z</dcterms:modified>
</cp:coreProperties>
</file>